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0460" w:type="dxa"/>
        <w:tblLook w:val="04A0" w:firstRow="1" w:lastRow="0" w:firstColumn="1" w:lastColumn="0" w:noHBand="0" w:noVBand="1"/>
      </w:tblPr>
      <w:tblGrid>
        <w:gridCol w:w="1446"/>
        <w:gridCol w:w="9014"/>
      </w:tblGrid>
      <w:tr w:rsidR="009B14A8" w14:paraId="28E69FFE" w14:textId="77777777" w:rsidTr="002E77DB">
        <w:trPr>
          <w:trHeight w:val="1417"/>
        </w:trPr>
        <w:tc>
          <w:tcPr>
            <w:tcW w:w="1446" w:type="dxa"/>
            <w:vAlign w:val="center"/>
          </w:tcPr>
          <w:p w14:paraId="418C61C1" w14:textId="09DE97A4" w:rsidR="009B14A8" w:rsidRDefault="009B14A8" w:rsidP="002E77DB">
            <w:pPr>
              <w:jc w:val="center"/>
            </w:pPr>
          </w:p>
        </w:tc>
        <w:tc>
          <w:tcPr>
            <w:tcW w:w="9014" w:type="dxa"/>
            <w:vAlign w:val="center"/>
          </w:tcPr>
          <w:p w14:paraId="7DBAC37D" w14:textId="0DC8A181" w:rsidR="009B14A8" w:rsidRPr="009B14A8" w:rsidRDefault="009B14A8" w:rsidP="009B14A8">
            <w:pPr>
              <w:jc w:val="center"/>
              <w:rPr>
                <w:sz w:val="40"/>
                <w:szCs w:val="40"/>
              </w:rPr>
            </w:pPr>
            <w:r w:rsidRPr="009B14A8">
              <w:rPr>
                <w:sz w:val="40"/>
                <w:szCs w:val="40"/>
              </w:rPr>
              <w:t xml:space="preserve">Til alle </w:t>
            </w:r>
            <w:r w:rsidR="00066A8A">
              <w:rPr>
                <w:sz w:val="40"/>
                <w:szCs w:val="40"/>
              </w:rPr>
              <w:t xml:space="preserve">lejere i </w:t>
            </w:r>
          </w:p>
          <w:p w14:paraId="418F135D" w14:textId="2ECB7D6F" w:rsidR="009B14A8" w:rsidRDefault="00715FD9" w:rsidP="009B14A8">
            <w:pPr>
              <w:jc w:val="center"/>
            </w:pPr>
            <w:r>
              <w:rPr>
                <w:sz w:val="40"/>
                <w:szCs w:val="40"/>
              </w:rPr>
              <w:t xml:space="preserve">Arbejdernes </w:t>
            </w:r>
            <w:r w:rsidR="009B14A8" w:rsidRPr="009B14A8">
              <w:rPr>
                <w:sz w:val="40"/>
                <w:szCs w:val="40"/>
              </w:rPr>
              <w:t>Boligselskab</w:t>
            </w:r>
          </w:p>
        </w:tc>
      </w:tr>
      <w:tr w:rsidR="009B14A8" w14:paraId="145E21B7" w14:textId="77777777" w:rsidTr="009B14A8">
        <w:trPr>
          <w:cantSplit/>
          <w:trHeight w:val="12869"/>
        </w:trPr>
        <w:tc>
          <w:tcPr>
            <w:tcW w:w="1446" w:type="dxa"/>
            <w:textDirection w:val="btLr"/>
          </w:tcPr>
          <w:p w14:paraId="32949882" w14:textId="30A20DA9" w:rsidR="009B14A8" w:rsidRPr="00325EEB" w:rsidRDefault="009B14A8" w:rsidP="009B14A8">
            <w:pPr>
              <w:ind w:left="113" w:right="113"/>
              <w:rPr>
                <w:b/>
                <w:bCs/>
                <w:smallCaps/>
                <w:color w:val="BFBFBF" w:themeColor="background1" w:themeShade="BF"/>
                <w:sz w:val="96"/>
                <w:szCs w:val="96"/>
              </w:rPr>
            </w:pPr>
            <w:r w:rsidRPr="00325EEB">
              <w:rPr>
                <w:b/>
                <w:bCs/>
                <w:smallCaps/>
                <w:color w:val="BFBFBF" w:themeColor="background1" w:themeShade="BF"/>
                <w:sz w:val="96"/>
                <w:szCs w:val="96"/>
              </w:rPr>
              <w:t>Information</w:t>
            </w:r>
          </w:p>
        </w:tc>
        <w:tc>
          <w:tcPr>
            <w:tcW w:w="9014" w:type="dxa"/>
          </w:tcPr>
          <w:p w14:paraId="474480D4" w14:textId="77777777" w:rsidR="00BD7991" w:rsidRDefault="00BD7991"/>
          <w:p w14:paraId="0B87528F" w14:textId="77777777" w:rsidR="00BD7991" w:rsidRPr="00FA7A46" w:rsidRDefault="00BD7991" w:rsidP="00BD7991">
            <w:pPr>
              <w:pStyle w:val="Ingenafstand"/>
              <w:jc w:val="both"/>
              <w:rPr>
                <w:b/>
                <w:bCs/>
                <w:sz w:val="28"/>
                <w:szCs w:val="28"/>
              </w:rPr>
            </w:pPr>
            <w:r w:rsidRPr="00FA7A46">
              <w:rPr>
                <w:b/>
                <w:bCs/>
                <w:sz w:val="28"/>
                <w:szCs w:val="28"/>
              </w:rPr>
              <w:t>Arbejdernes Boligselskab og Vordingborg Boligselskab indleder forhandlinger om en fusion.</w:t>
            </w:r>
          </w:p>
          <w:p w14:paraId="215346E8" w14:textId="77777777" w:rsidR="00BD7991" w:rsidRPr="00BD7991" w:rsidRDefault="00BD7991">
            <w:pPr>
              <w:rPr>
                <w:sz w:val="16"/>
                <w:szCs w:val="16"/>
              </w:rPr>
            </w:pPr>
          </w:p>
          <w:p w14:paraId="1458F929" w14:textId="61BE7C0C" w:rsidR="00BD7991" w:rsidRPr="00325EEB" w:rsidRDefault="00BD7991" w:rsidP="00BD7991">
            <w:pPr>
              <w:pStyle w:val="Ingenafstand"/>
              <w:tabs>
                <w:tab w:val="left" w:pos="1065"/>
              </w:tabs>
              <w:jc w:val="both"/>
              <w:rPr>
                <w:sz w:val="23"/>
                <w:szCs w:val="23"/>
              </w:rPr>
            </w:pPr>
            <w:r w:rsidRPr="00325EEB">
              <w:rPr>
                <w:sz w:val="23"/>
                <w:szCs w:val="23"/>
              </w:rPr>
              <w:t>Efter gensidige drøftelser om de 2 lokale boligselskabers fremtid, har organi</w:t>
            </w:r>
            <w:r w:rsidR="001A6608">
              <w:rPr>
                <w:sz w:val="23"/>
                <w:szCs w:val="23"/>
              </w:rPr>
              <w:t>-</w:t>
            </w:r>
            <w:r w:rsidRPr="00325EEB">
              <w:rPr>
                <w:sz w:val="23"/>
                <w:szCs w:val="23"/>
              </w:rPr>
              <w:t>sationsbestyrelserne i Arbejdernes Boligselskab og Vordingborg Boligsel</w:t>
            </w:r>
            <w:r w:rsidR="001A6608">
              <w:rPr>
                <w:sz w:val="23"/>
                <w:szCs w:val="23"/>
              </w:rPr>
              <w:t>-</w:t>
            </w:r>
            <w:r w:rsidRPr="00325EEB">
              <w:rPr>
                <w:sz w:val="23"/>
                <w:szCs w:val="23"/>
              </w:rPr>
              <w:t>skabet besluttet, at de vil indlede forhandlinger med henblik på, at fusionere de 2 selskaber pr. 1. juli 2026.</w:t>
            </w:r>
          </w:p>
          <w:p w14:paraId="345B64D3" w14:textId="77777777" w:rsidR="00BD7991" w:rsidRPr="00325EEB" w:rsidRDefault="00BD7991" w:rsidP="00BD7991">
            <w:pPr>
              <w:pStyle w:val="Ingenafstand"/>
              <w:tabs>
                <w:tab w:val="left" w:pos="1065"/>
              </w:tabs>
              <w:jc w:val="both"/>
              <w:rPr>
                <w:sz w:val="12"/>
                <w:szCs w:val="12"/>
              </w:rPr>
            </w:pPr>
          </w:p>
          <w:p w14:paraId="3137BEB5" w14:textId="63A9C5AE" w:rsidR="00BD7991" w:rsidRPr="00325EEB" w:rsidRDefault="00BD7991" w:rsidP="00BD7991">
            <w:pPr>
              <w:pStyle w:val="Ingenafstand"/>
              <w:tabs>
                <w:tab w:val="left" w:pos="1065"/>
              </w:tabs>
              <w:jc w:val="both"/>
              <w:rPr>
                <w:sz w:val="23"/>
                <w:szCs w:val="23"/>
              </w:rPr>
            </w:pPr>
            <w:r w:rsidRPr="00325EEB">
              <w:rPr>
                <w:sz w:val="23"/>
                <w:szCs w:val="23"/>
              </w:rPr>
              <w:t>Det er stadig stigende krav til digitalisering, effektiv drift, professionalisering og et kommende generationsskifte, der har ført til overvejelser i begge sel</w:t>
            </w:r>
            <w:r w:rsidR="001A6608">
              <w:rPr>
                <w:sz w:val="23"/>
                <w:szCs w:val="23"/>
              </w:rPr>
              <w:t>-</w:t>
            </w:r>
            <w:r w:rsidRPr="00325EEB">
              <w:rPr>
                <w:sz w:val="23"/>
                <w:szCs w:val="23"/>
              </w:rPr>
              <w:t>skaber.</w:t>
            </w:r>
          </w:p>
          <w:p w14:paraId="429BE73E" w14:textId="77777777" w:rsidR="00BD7991" w:rsidRPr="00325EEB" w:rsidRDefault="00BD7991" w:rsidP="00BD7991">
            <w:pPr>
              <w:pStyle w:val="Ingenafstand"/>
              <w:tabs>
                <w:tab w:val="left" w:pos="1065"/>
              </w:tabs>
              <w:jc w:val="both"/>
              <w:rPr>
                <w:sz w:val="12"/>
                <w:szCs w:val="12"/>
              </w:rPr>
            </w:pPr>
          </w:p>
          <w:p w14:paraId="6CCDE5A6" w14:textId="03117E94" w:rsidR="00BD7991" w:rsidRPr="00325EEB" w:rsidRDefault="00BD7991" w:rsidP="00BD7991">
            <w:pPr>
              <w:pStyle w:val="Ingenafstand"/>
              <w:tabs>
                <w:tab w:val="left" w:pos="1065"/>
              </w:tabs>
              <w:jc w:val="both"/>
              <w:rPr>
                <w:sz w:val="23"/>
                <w:szCs w:val="23"/>
              </w:rPr>
            </w:pPr>
            <w:r w:rsidRPr="00325EEB">
              <w:rPr>
                <w:sz w:val="23"/>
                <w:szCs w:val="23"/>
              </w:rPr>
              <w:t>Såfremt der forsat skal være et lokalt, selvstændigt boligselskab med egen administration, hvor man bevarer de lokale arbejdspladser, er der enighed om</w:t>
            </w:r>
            <w:r w:rsidR="001A6608">
              <w:rPr>
                <w:sz w:val="23"/>
                <w:szCs w:val="23"/>
              </w:rPr>
              <w:t>,</w:t>
            </w:r>
            <w:r w:rsidRPr="00325EEB">
              <w:rPr>
                <w:sz w:val="23"/>
                <w:szCs w:val="23"/>
              </w:rPr>
              <w:t xml:space="preserve"> at tiden er inde til sammen, at skabe et stort lokalt boligselskab. </w:t>
            </w:r>
          </w:p>
          <w:p w14:paraId="5F6136A1" w14:textId="77777777" w:rsidR="00BD7991" w:rsidRPr="00325EEB" w:rsidRDefault="00BD7991" w:rsidP="00BD7991">
            <w:pPr>
              <w:pStyle w:val="Ingenafstand"/>
              <w:tabs>
                <w:tab w:val="left" w:pos="1065"/>
              </w:tabs>
              <w:jc w:val="both"/>
              <w:rPr>
                <w:sz w:val="12"/>
                <w:szCs w:val="12"/>
              </w:rPr>
            </w:pPr>
          </w:p>
          <w:p w14:paraId="720305EB" w14:textId="31F000F3" w:rsidR="00BD7991" w:rsidRPr="00325EEB" w:rsidRDefault="00BD7991" w:rsidP="00BD7991">
            <w:pPr>
              <w:pStyle w:val="Ingenafstand"/>
              <w:tabs>
                <w:tab w:val="left" w:pos="1065"/>
              </w:tabs>
              <w:jc w:val="both"/>
              <w:rPr>
                <w:sz w:val="23"/>
                <w:szCs w:val="23"/>
              </w:rPr>
            </w:pPr>
            <w:r w:rsidRPr="00325EEB">
              <w:rPr>
                <w:sz w:val="23"/>
                <w:szCs w:val="23"/>
              </w:rPr>
              <w:t>Det nye store boligselskab vil naturligt være kommunens foretrukne samarbejdspartner, når det gælder bosætning, nybyggeri og udvikling af boligpolitikken i kommunen.</w:t>
            </w:r>
          </w:p>
          <w:p w14:paraId="790704C0" w14:textId="77777777" w:rsidR="00BD7991" w:rsidRPr="00325EEB" w:rsidRDefault="00BD7991" w:rsidP="00BD7991">
            <w:pPr>
              <w:pStyle w:val="Ingenafstand"/>
              <w:tabs>
                <w:tab w:val="left" w:pos="1065"/>
              </w:tabs>
              <w:jc w:val="both"/>
              <w:rPr>
                <w:sz w:val="12"/>
                <w:szCs w:val="12"/>
              </w:rPr>
            </w:pPr>
          </w:p>
          <w:p w14:paraId="1D4E27AC" w14:textId="77777777" w:rsidR="00BD7991" w:rsidRPr="00325EEB" w:rsidRDefault="00BD7991" w:rsidP="00BD7991">
            <w:pPr>
              <w:pStyle w:val="Ingenafstand"/>
              <w:tabs>
                <w:tab w:val="left" w:pos="1065"/>
              </w:tabs>
              <w:jc w:val="both"/>
              <w:rPr>
                <w:sz w:val="23"/>
                <w:szCs w:val="23"/>
              </w:rPr>
            </w:pPr>
            <w:r w:rsidRPr="00325EEB">
              <w:rPr>
                <w:sz w:val="23"/>
                <w:szCs w:val="23"/>
              </w:rPr>
              <w:t>Tendensen er ellers klar, rigtig mange selvstændige lokale boligselskaber opgiver egen administration og indgår aftaler med et af landets store administrationsselskaber, hvor langt det meste styres fra et hovedsæde i København.</w:t>
            </w:r>
          </w:p>
          <w:p w14:paraId="5A54B6F1" w14:textId="77777777" w:rsidR="00BD7991" w:rsidRPr="00325EEB" w:rsidRDefault="00BD7991" w:rsidP="00BD7991">
            <w:pPr>
              <w:pStyle w:val="Ingenafstand"/>
              <w:tabs>
                <w:tab w:val="left" w:pos="1065"/>
              </w:tabs>
              <w:jc w:val="both"/>
              <w:rPr>
                <w:sz w:val="12"/>
                <w:szCs w:val="12"/>
              </w:rPr>
            </w:pPr>
          </w:p>
          <w:p w14:paraId="7EFB23FF" w14:textId="1234489B" w:rsidR="00BD7991" w:rsidRPr="00325EEB" w:rsidRDefault="00BD7991" w:rsidP="00BD7991">
            <w:pPr>
              <w:pStyle w:val="Ingenafstand"/>
              <w:tabs>
                <w:tab w:val="left" w:pos="1065"/>
              </w:tabs>
              <w:jc w:val="both"/>
              <w:rPr>
                <w:sz w:val="23"/>
                <w:szCs w:val="23"/>
              </w:rPr>
            </w:pPr>
            <w:r w:rsidRPr="00325EEB">
              <w:rPr>
                <w:sz w:val="23"/>
                <w:szCs w:val="23"/>
              </w:rPr>
              <w:t>Det ønsker de 2 organisationsbestyrelser ikke skal ske i Vordingborg</w:t>
            </w:r>
            <w:r w:rsidR="00A234C7">
              <w:rPr>
                <w:sz w:val="23"/>
                <w:szCs w:val="23"/>
              </w:rPr>
              <w:t xml:space="preserve"> Kom</w:t>
            </w:r>
            <w:r w:rsidR="00BB1D23">
              <w:rPr>
                <w:sz w:val="23"/>
                <w:szCs w:val="23"/>
              </w:rPr>
              <w:t>-</w:t>
            </w:r>
            <w:r w:rsidR="00A234C7">
              <w:rPr>
                <w:sz w:val="23"/>
                <w:szCs w:val="23"/>
              </w:rPr>
              <w:t>mune</w:t>
            </w:r>
            <w:r w:rsidRPr="00325EEB">
              <w:rPr>
                <w:sz w:val="23"/>
                <w:szCs w:val="23"/>
              </w:rPr>
              <w:t>, hvorfor man nu indleder forhandlinger med henblik på at fusionere de 2 selskaber.</w:t>
            </w:r>
          </w:p>
          <w:p w14:paraId="03A0F5C9" w14:textId="77777777" w:rsidR="00BD7991" w:rsidRPr="00325EEB" w:rsidRDefault="00BD7991" w:rsidP="00BD7991">
            <w:pPr>
              <w:pStyle w:val="Ingenafstand"/>
              <w:tabs>
                <w:tab w:val="left" w:pos="1065"/>
              </w:tabs>
              <w:jc w:val="both"/>
              <w:rPr>
                <w:sz w:val="12"/>
                <w:szCs w:val="12"/>
              </w:rPr>
            </w:pPr>
          </w:p>
          <w:p w14:paraId="5101D525" w14:textId="77777777" w:rsidR="00BD7991" w:rsidRPr="00325EEB" w:rsidRDefault="00BD7991" w:rsidP="00BD7991">
            <w:pPr>
              <w:pStyle w:val="Ingenafstand"/>
              <w:tabs>
                <w:tab w:val="left" w:pos="1065"/>
              </w:tabs>
              <w:jc w:val="both"/>
              <w:rPr>
                <w:sz w:val="23"/>
                <w:szCs w:val="23"/>
              </w:rPr>
            </w:pPr>
            <w:r w:rsidRPr="00325EEB">
              <w:rPr>
                <w:sz w:val="23"/>
                <w:szCs w:val="23"/>
              </w:rPr>
              <w:t>Forhandlingerne er i den indledende fase og man har derfor endnu ikke inddraget det øvrige beboerdemokrati og medarbejderne.</w:t>
            </w:r>
          </w:p>
          <w:p w14:paraId="4E5ABDF6" w14:textId="77777777" w:rsidR="00BD7991" w:rsidRPr="00325EEB" w:rsidRDefault="00BD7991" w:rsidP="00BD7991">
            <w:pPr>
              <w:pStyle w:val="Ingenafstand"/>
              <w:tabs>
                <w:tab w:val="left" w:pos="1065"/>
              </w:tabs>
              <w:jc w:val="both"/>
              <w:rPr>
                <w:sz w:val="12"/>
                <w:szCs w:val="12"/>
              </w:rPr>
            </w:pPr>
          </w:p>
          <w:p w14:paraId="0A367830" w14:textId="287E0274" w:rsidR="00BD7991" w:rsidRPr="00325EEB" w:rsidRDefault="00BD7991" w:rsidP="00BD7991">
            <w:pPr>
              <w:pStyle w:val="Ingenafstand"/>
              <w:tabs>
                <w:tab w:val="left" w:pos="1065"/>
              </w:tabs>
              <w:jc w:val="both"/>
              <w:rPr>
                <w:sz w:val="23"/>
                <w:szCs w:val="23"/>
              </w:rPr>
            </w:pPr>
            <w:r w:rsidRPr="00325EEB">
              <w:rPr>
                <w:sz w:val="23"/>
                <w:szCs w:val="23"/>
              </w:rPr>
              <w:t>Men begge parter håber og tror på, at det ender med en fusion, og går derfor positivt og åbent ind i forhandlingerne, hvor forskelligheder drøftes kon</w:t>
            </w:r>
            <w:r w:rsidR="001A6608">
              <w:rPr>
                <w:sz w:val="23"/>
                <w:szCs w:val="23"/>
              </w:rPr>
              <w:t>-</w:t>
            </w:r>
            <w:r w:rsidRPr="00325EEB">
              <w:rPr>
                <w:sz w:val="23"/>
                <w:szCs w:val="23"/>
              </w:rPr>
              <w:t>struktivt med det klare mål, at der skal findes fælles løsninger, som til</w:t>
            </w:r>
            <w:r w:rsidR="002F3A3B">
              <w:rPr>
                <w:sz w:val="23"/>
                <w:szCs w:val="23"/>
              </w:rPr>
              <w:t>-</w:t>
            </w:r>
            <w:r w:rsidRPr="00325EEB">
              <w:rPr>
                <w:sz w:val="23"/>
                <w:szCs w:val="23"/>
              </w:rPr>
              <w:t>godeser begge selskaber, beboerne og de ansatte.</w:t>
            </w:r>
          </w:p>
          <w:p w14:paraId="19FB7B50" w14:textId="77777777" w:rsidR="00BD7991" w:rsidRPr="00325EEB" w:rsidRDefault="00BD7991" w:rsidP="00BD7991">
            <w:pPr>
              <w:pStyle w:val="Ingenafstand"/>
              <w:tabs>
                <w:tab w:val="left" w:pos="1065"/>
              </w:tabs>
              <w:jc w:val="both"/>
              <w:rPr>
                <w:sz w:val="10"/>
                <w:szCs w:val="10"/>
              </w:rPr>
            </w:pPr>
          </w:p>
          <w:p w14:paraId="1A40D54C" w14:textId="70E071CF" w:rsidR="002F3A3B" w:rsidRDefault="002F3A3B" w:rsidP="002F3A3B">
            <w:pPr>
              <w:pStyle w:val="Ingenafstand"/>
              <w:tabs>
                <w:tab w:val="left" w:pos="1065"/>
              </w:tabs>
              <w:jc w:val="both"/>
              <w:rPr>
                <w:sz w:val="23"/>
                <w:szCs w:val="23"/>
              </w:rPr>
            </w:pPr>
            <w:r>
              <w:rPr>
                <w:sz w:val="23"/>
                <w:szCs w:val="23"/>
              </w:rPr>
              <w:t>Der vil frem imod et ekstraordinært repræsentantskabsmøde, blive arbejdet intensivt på at nå dette mål</w:t>
            </w:r>
            <w:r w:rsidR="00600A6C">
              <w:rPr>
                <w:sz w:val="23"/>
                <w:szCs w:val="23"/>
              </w:rPr>
              <w:t>.</w:t>
            </w:r>
          </w:p>
          <w:p w14:paraId="444393A9" w14:textId="77777777" w:rsidR="002F3A3B" w:rsidRPr="00456A1E" w:rsidRDefault="002F3A3B" w:rsidP="002F3A3B">
            <w:pPr>
              <w:pStyle w:val="Ingenafstand"/>
              <w:tabs>
                <w:tab w:val="left" w:pos="1065"/>
              </w:tabs>
              <w:jc w:val="both"/>
              <w:rPr>
                <w:sz w:val="10"/>
                <w:szCs w:val="10"/>
              </w:rPr>
            </w:pPr>
          </w:p>
          <w:p w14:paraId="50427C83" w14:textId="29917A39" w:rsidR="00BB1D23" w:rsidRDefault="00BB1D23" w:rsidP="00BB1D23">
            <w:pPr>
              <w:pStyle w:val="Ingenafstand"/>
              <w:tabs>
                <w:tab w:val="left" w:pos="1065"/>
              </w:tabs>
              <w:jc w:val="both"/>
              <w:rPr>
                <w:sz w:val="23"/>
                <w:szCs w:val="23"/>
              </w:rPr>
            </w:pPr>
            <w:r w:rsidRPr="00325EEB">
              <w:rPr>
                <w:sz w:val="23"/>
                <w:szCs w:val="23"/>
              </w:rPr>
              <w:t>I sidste ende, er det repræsentantskabe</w:t>
            </w:r>
            <w:r w:rsidR="002F3A3B">
              <w:rPr>
                <w:sz w:val="23"/>
                <w:szCs w:val="23"/>
              </w:rPr>
              <w:t>t i begge boligselskaber</w:t>
            </w:r>
            <w:r w:rsidRPr="00325EEB">
              <w:rPr>
                <w:sz w:val="23"/>
                <w:szCs w:val="23"/>
              </w:rPr>
              <w:t>, der skal godkende en evt. fusion.</w:t>
            </w:r>
          </w:p>
          <w:p w14:paraId="21AF9D16" w14:textId="77777777" w:rsidR="00BB1D23" w:rsidRPr="00E53287" w:rsidRDefault="00BB1D23" w:rsidP="00BB1D23">
            <w:pPr>
              <w:pStyle w:val="Ingenafstand"/>
              <w:tabs>
                <w:tab w:val="left" w:pos="1065"/>
              </w:tabs>
              <w:jc w:val="both"/>
              <w:rPr>
                <w:sz w:val="10"/>
                <w:szCs w:val="10"/>
              </w:rPr>
            </w:pPr>
          </w:p>
          <w:p w14:paraId="65CBE105" w14:textId="77777777" w:rsidR="00456A1E" w:rsidRPr="00456A1E" w:rsidRDefault="00456A1E" w:rsidP="00456A1E">
            <w:pPr>
              <w:pStyle w:val="Ingenafstand"/>
              <w:tabs>
                <w:tab w:val="left" w:pos="1065"/>
              </w:tabs>
              <w:jc w:val="both"/>
              <w:rPr>
                <w:sz w:val="23"/>
                <w:szCs w:val="23"/>
              </w:rPr>
            </w:pPr>
            <w:r w:rsidRPr="00456A1E">
              <w:rPr>
                <w:sz w:val="23"/>
                <w:szCs w:val="23"/>
              </w:rPr>
              <w:t>Og hvorfor mener man så, at det vil være en god idé at fusionere de 2 selskaber?</w:t>
            </w:r>
          </w:p>
          <w:p w14:paraId="59845E12" w14:textId="77777777" w:rsidR="00456A1E" w:rsidRDefault="00456A1E" w:rsidP="00456A1E">
            <w:pPr>
              <w:pStyle w:val="Ingenafstand"/>
              <w:tabs>
                <w:tab w:val="left" w:pos="1065"/>
              </w:tabs>
              <w:jc w:val="both"/>
              <w:rPr>
                <w:sz w:val="10"/>
                <w:szCs w:val="10"/>
              </w:rPr>
            </w:pPr>
          </w:p>
          <w:p w14:paraId="4619CFE6" w14:textId="77777777" w:rsidR="00456A1E" w:rsidRPr="001A6608" w:rsidRDefault="00456A1E" w:rsidP="00456A1E">
            <w:pPr>
              <w:pStyle w:val="Listeafsnit"/>
              <w:numPr>
                <w:ilvl w:val="0"/>
                <w:numId w:val="1"/>
              </w:numPr>
              <w:ind w:left="360"/>
              <w:jc w:val="both"/>
              <w:rPr>
                <w:sz w:val="23"/>
                <w:szCs w:val="23"/>
              </w:rPr>
            </w:pPr>
            <w:r w:rsidRPr="001A6608">
              <w:rPr>
                <w:sz w:val="23"/>
                <w:szCs w:val="23"/>
              </w:rPr>
              <w:t>For at bevare et lokalt funderet boligselskab med egen administration</w:t>
            </w:r>
          </w:p>
          <w:p w14:paraId="674991F4" w14:textId="77777777" w:rsidR="00456A1E" w:rsidRPr="00325EEB" w:rsidRDefault="00456A1E" w:rsidP="00456A1E">
            <w:pPr>
              <w:jc w:val="both"/>
              <w:rPr>
                <w:sz w:val="12"/>
                <w:szCs w:val="12"/>
              </w:rPr>
            </w:pPr>
          </w:p>
          <w:p w14:paraId="0C7130F5" w14:textId="77777777" w:rsidR="00456A1E" w:rsidRPr="001A6608" w:rsidRDefault="00456A1E" w:rsidP="00456A1E">
            <w:pPr>
              <w:pStyle w:val="Listeafsnit"/>
              <w:numPr>
                <w:ilvl w:val="0"/>
                <w:numId w:val="1"/>
              </w:numPr>
              <w:ind w:left="360"/>
              <w:jc w:val="both"/>
              <w:rPr>
                <w:sz w:val="23"/>
                <w:szCs w:val="23"/>
              </w:rPr>
            </w:pPr>
            <w:r w:rsidRPr="001A6608">
              <w:rPr>
                <w:sz w:val="23"/>
                <w:szCs w:val="23"/>
              </w:rPr>
              <w:t>For at bevare de administrative arbejdspladser i Vordingborg Kommune</w:t>
            </w:r>
          </w:p>
          <w:p w14:paraId="3514B396" w14:textId="77777777" w:rsidR="00456A1E" w:rsidRDefault="00456A1E" w:rsidP="00F93D1C">
            <w:pPr>
              <w:jc w:val="both"/>
              <w:rPr>
                <w:sz w:val="22"/>
                <w:szCs w:val="22"/>
              </w:rPr>
            </w:pPr>
          </w:p>
          <w:p w14:paraId="09AB86C6" w14:textId="7670ECAB" w:rsidR="004B10D7" w:rsidRPr="004B10D7" w:rsidRDefault="004B10D7" w:rsidP="004B10D7">
            <w:pPr>
              <w:jc w:val="center"/>
              <w:rPr>
                <w:sz w:val="22"/>
                <w:szCs w:val="22"/>
              </w:rPr>
            </w:pPr>
            <w:r>
              <w:rPr>
                <w:sz w:val="22"/>
                <w:szCs w:val="22"/>
              </w:rPr>
              <w:t>SE BAGSIDEN</w:t>
            </w:r>
          </w:p>
        </w:tc>
      </w:tr>
      <w:tr w:rsidR="009B14A8" w14:paraId="20FDA595" w14:textId="77777777" w:rsidTr="009B14A8">
        <w:tc>
          <w:tcPr>
            <w:tcW w:w="1446" w:type="dxa"/>
          </w:tcPr>
          <w:p w14:paraId="7A401D67" w14:textId="77777777" w:rsidR="009B14A8" w:rsidRDefault="009B14A8"/>
        </w:tc>
        <w:tc>
          <w:tcPr>
            <w:tcW w:w="9014" w:type="dxa"/>
          </w:tcPr>
          <w:p w14:paraId="08B4F3E7" w14:textId="4BE5BB20" w:rsidR="009B14A8" w:rsidRDefault="00715FD9" w:rsidP="009B14A8">
            <w:pPr>
              <w:jc w:val="right"/>
            </w:pPr>
            <w:r>
              <w:t>31</w:t>
            </w:r>
            <w:r w:rsidR="009B14A8">
              <w:t>. marts 2025</w:t>
            </w:r>
          </w:p>
        </w:tc>
      </w:tr>
    </w:tbl>
    <w:p w14:paraId="0F7F7AFD" w14:textId="77777777" w:rsidR="006A0104" w:rsidRDefault="006A0104"/>
    <w:tbl>
      <w:tblPr>
        <w:tblStyle w:val="Tabel-Gitter"/>
        <w:tblW w:w="10460" w:type="dxa"/>
        <w:tblLook w:val="04A0" w:firstRow="1" w:lastRow="0" w:firstColumn="1" w:lastColumn="0" w:noHBand="0" w:noVBand="1"/>
      </w:tblPr>
      <w:tblGrid>
        <w:gridCol w:w="1446"/>
        <w:gridCol w:w="9014"/>
      </w:tblGrid>
      <w:tr w:rsidR="00BD7991" w14:paraId="4544CE0D" w14:textId="77777777" w:rsidTr="002E77DB">
        <w:trPr>
          <w:trHeight w:val="1417"/>
        </w:trPr>
        <w:tc>
          <w:tcPr>
            <w:tcW w:w="1446" w:type="dxa"/>
            <w:vAlign w:val="center"/>
          </w:tcPr>
          <w:p w14:paraId="5FF1A202" w14:textId="1C01BDE4" w:rsidR="00BD7991" w:rsidRDefault="00BD7991" w:rsidP="002E77DB">
            <w:pPr>
              <w:jc w:val="center"/>
            </w:pPr>
          </w:p>
        </w:tc>
        <w:tc>
          <w:tcPr>
            <w:tcW w:w="9014" w:type="dxa"/>
            <w:vAlign w:val="center"/>
          </w:tcPr>
          <w:p w14:paraId="5B3280D9" w14:textId="77777777" w:rsidR="00BD7991" w:rsidRPr="00BD7991" w:rsidRDefault="00BD7991" w:rsidP="00826B45">
            <w:pPr>
              <w:jc w:val="center"/>
              <w:rPr>
                <w:sz w:val="10"/>
                <w:szCs w:val="10"/>
              </w:rPr>
            </w:pPr>
          </w:p>
          <w:p w14:paraId="53E10057" w14:textId="3C47855B" w:rsidR="00BD7991" w:rsidRPr="009B14A8" w:rsidRDefault="00BD7991" w:rsidP="00826B45">
            <w:pPr>
              <w:jc w:val="center"/>
              <w:rPr>
                <w:sz w:val="40"/>
                <w:szCs w:val="40"/>
              </w:rPr>
            </w:pPr>
            <w:r w:rsidRPr="009B14A8">
              <w:rPr>
                <w:sz w:val="40"/>
                <w:szCs w:val="40"/>
              </w:rPr>
              <w:t xml:space="preserve">Til alle </w:t>
            </w:r>
            <w:r w:rsidR="00A11A3C">
              <w:rPr>
                <w:sz w:val="40"/>
                <w:szCs w:val="40"/>
              </w:rPr>
              <w:t xml:space="preserve">lejere </w:t>
            </w:r>
            <w:r w:rsidRPr="009B14A8">
              <w:rPr>
                <w:sz w:val="40"/>
                <w:szCs w:val="40"/>
              </w:rPr>
              <w:t xml:space="preserve">i </w:t>
            </w:r>
          </w:p>
          <w:p w14:paraId="32BB0D14" w14:textId="035F9757" w:rsidR="00BD7991" w:rsidRDefault="00715FD9" w:rsidP="00826B45">
            <w:pPr>
              <w:jc w:val="center"/>
              <w:rPr>
                <w:sz w:val="40"/>
                <w:szCs w:val="40"/>
              </w:rPr>
            </w:pPr>
            <w:r>
              <w:rPr>
                <w:sz w:val="40"/>
                <w:szCs w:val="40"/>
              </w:rPr>
              <w:t>Arbejdernes</w:t>
            </w:r>
            <w:r w:rsidR="00BD7991" w:rsidRPr="009B14A8">
              <w:rPr>
                <w:sz w:val="40"/>
                <w:szCs w:val="40"/>
              </w:rPr>
              <w:t xml:space="preserve"> Boligselskab</w:t>
            </w:r>
          </w:p>
          <w:p w14:paraId="79D6ECBB" w14:textId="555FAC9D" w:rsidR="00BD7991" w:rsidRDefault="00BD7991" w:rsidP="00BD7991">
            <w:pPr>
              <w:jc w:val="right"/>
            </w:pPr>
            <w:r w:rsidRPr="00BD7991">
              <w:rPr>
                <w:sz w:val="22"/>
                <w:szCs w:val="22"/>
              </w:rPr>
              <w:t>Side 2</w:t>
            </w:r>
          </w:p>
        </w:tc>
      </w:tr>
      <w:tr w:rsidR="00BD7991" w14:paraId="396D6E6B" w14:textId="77777777" w:rsidTr="00826B45">
        <w:trPr>
          <w:cantSplit/>
          <w:trHeight w:val="12869"/>
        </w:trPr>
        <w:tc>
          <w:tcPr>
            <w:tcW w:w="1446" w:type="dxa"/>
            <w:textDirection w:val="btLr"/>
          </w:tcPr>
          <w:p w14:paraId="7BA195F8" w14:textId="77777777" w:rsidR="00BD7991" w:rsidRPr="00325EEB" w:rsidRDefault="00BD7991" w:rsidP="00826B45">
            <w:pPr>
              <w:ind w:left="113" w:right="113"/>
              <w:rPr>
                <w:b/>
                <w:bCs/>
                <w:smallCaps/>
                <w:color w:val="BFBFBF" w:themeColor="background1" w:themeShade="BF"/>
                <w:sz w:val="96"/>
                <w:szCs w:val="96"/>
              </w:rPr>
            </w:pPr>
            <w:r w:rsidRPr="00325EEB">
              <w:rPr>
                <w:b/>
                <w:bCs/>
                <w:smallCaps/>
                <w:color w:val="BFBFBF" w:themeColor="background1" w:themeShade="BF"/>
                <w:sz w:val="96"/>
                <w:szCs w:val="96"/>
              </w:rPr>
              <w:t>Information</w:t>
            </w:r>
          </w:p>
        </w:tc>
        <w:tc>
          <w:tcPr>
            <w:tcW w:w="9014" w:type="dxa"/>
          </w:tcPr>
          <w:p w14:paraId="010355B7" w14:textId="77777777" w:rsidR="00BD7991" w:rsidRPr="00325EEB" w:rsidRDefault="00BD7991" w:rsidP="00826B45">
            <w:pPr>
              <w:rPr>
                <w:sz w:val="10"/>
                <w:szCs w:val="10"/>
              </w:rPr>
            </w:pPr>
          </w:p>
          <w:p w14:paraId="77FC0274" w14:textId="5515A3DB" w:rsidR="00BD7991" w:rsidRPr="00BD7991" w:rsidRDefault="00BD7991" w:rsidP="00826B45">
            <w:pPr>
              <w:pStyle w:val="Ingenafstand"/>
              <w:jc w:val="both"/>
              <w:rPr>
                <w:i/>
                <w:iCs/>
                <w:sz w:val="24"/>
                <w:szCs w:val="24"/>
              </w:rPr>
            </w:pPr>
            <w:r w:rsidRPr="00FA7A46">
              <w:rPr>
                <w:b/>
                <w:bCs/>
                <w:sz w:val="28"/>
                <w:szCs w:val="28"/>
              </w:rPr>
              <w:t>Arbejdernes Boligselskab og Vordingborg Boligselskab indleder forhandlinger om en fusion</w:t>
            </w:r>
            <w:r>
              <w:rPr>
                <w:sz w:val="28"/>
                <w:szCs w:val="28"/>
              </w:rPr>
              <w:t xml:space="preserve"> </w:t>
            </w:r>
            <w:r>
              <w:rPr>
                <w:i/>
                <w:iCs/>
                <w:sz w:val="24"/>
                <w:szCs w:val="24"/>
              </w:rPr>
              <w:t>(fortsat)</w:t>
            </w:r>
          </w:p>
          <w:p w14:paraId="19F70618" w14:textId="77777777" w:rsidR="00BD7991" w:rsidRPr="00F93D1C" w:rsidRDefault="00BD7991" w:rsidP="00826B45">
            <w:pPr>
              <w:rPr>
                <w:sz w:val="8"/>
                <w:szCs w:val="8"/>
              </w:rPr>
            </w:pPr>
          </w:p>
          <w:p w14:paraId="5A08EEBE" w14:textId="397A28C0" w:rsidR="00F93D1C" w:rsidRPr="007B69CD" w:rsidRDefault="00F93D1C" w:rsidP="00BD7991">
            <w:pPr>
              <w:pStyle w:val="Listeafsnit"/>
              <w:numPr>
                <w:ilvl w:val="0"/>
                <w:numId w:val="1"/>
              </w:numPr>
              <w:ind w:left="360"/>
              <w:jc w:val="both"/>
              <w:rPr>
                <w:sz w:val="23"/>
                <w:szCs w:val="23"/>
              </w:rPr>
            </w:pPr>
            <w:r w:rsidRPr="007B69CD">
              <w:rPr>
                <w:sz w:val="23"/>
                <w:szCs w:val="23"/>
              </w:rPr>
              <w:t xml:space="preserve">For fortsat at være Vordingborg Kommunes naturlige samarbejdspartner, når det gælder bosætning, nybyggeri og udvikling af boligpolitikken for kommunen </w:t>
            </w:r>
          </w:p>
          <w:p w14:paraId="79C18DAA" w14:textId="77777777" w:rsidR="00F93D1C" w:rsidRPr="002F3A3B" w:rsidRDefault="00F93D1C" w:rsidP="00F93D1C">
            <w:pPr>
              <w:jc w:val="both"/>
              <w:rPr>
                <w:sz w:val="8"/>
                <w:szCs w:val="8"/>
              </w:rPr>
            </w:pPr>
          </w:p>
          <w:p w14:paraId="364F591B" w14:textId="0CC0C317" w:rsidR="00BD7991" w:rsidRPr="00456A1E" w:rsidRDefault="00BD7991" w:rsidP="00BD7991">
            <w:pPr>
              <w:pStyle w:val="Listeafsnit"/>
              <w:numPr>
                <w:ilvl w:val="0"/>
                <w:numId w:val="1"/>
              </w:numPr>
              <w:ind w:left="360"/>
              <w:jc w:val="both"/>
              <w:rPr>
                <w:sz w:val="23"/>
                <w:szCs w:val="23"/>
              </w:rPr>
            </w:pPr>
            <w:r w:rsidRPr="00456A1E">
              <w:rPr>
                <w:sz w:val="23"/>
                <w:szCs w:val="23"/>
              </w:rPr>
              <w:t>Fordi det vil være det bedste for Vordingborg by og Kommune, at vi fortsat og på sigt har et lokalt selvstændigt boligselskab med en fornuftig størrelse</w:t>
            </w:r>
          </w:p>
          <w:p w14:paraId="1D1A2778" w14:textId="77777777" w:rsidR="00BD7991" w:rsidRPr="002F3A3B" w:rsidRDefault="00BD7991" w:rsidP="00BD7991">
            <w:pPr>
              <w:jc w:val="both"/>
              <w:rPr>
                <w:sz w:val="8"/>
                <w:szCs w:val="8"/>
              </w:rPr>
            </w:pPr>
          </w:p>
          <w:p w14:paraId="0F68E516" w14:textId="77777777" w:rsidR="00BD7991" w:rsidRPr="00456A1E" w:rsidRDefault="00BD7991" w:rsidP="00BD7991">
            <w:pPr>
              <w:pStyle w:val="Listeafsnit"/>
              <w:numPr>
                <w:ilvl w:val="0"/>
                <w:numId w:val="1"/>
              </w:numPr>
              <w:ind w:left="360"/>
              <w:jc w:val="both"/>
              <w:rPr>
                <w:sz w:val="23"/>
                <w:szCs w:val="23"/>
              </w:rPr>
            </w:pPr>
            <w:r w:rsidRPr="00456A1E">
              <w:rPr>
                <w:sz w:val="23"/>
                <w:szCs w:val="23"/>
              </w:rPr>
              <w:t>For fortsat at kunne leve op til de mange nye udfordringer og krav der kommer i forhold til digitalisering, kunstig intelligens, effektiv drift og lovgivning</w:t>
            </w:r>
          </w:p>
          <w:p w14:paraId="46294333" w14:textId="77777777" w:rsidR="00BD7991" w:rsidRPr="002F3A3B" w:rsidRDefault="00BD7991" w:rsidP="00BD7991">
            <w:pPr>
              <w:jc w:val="both"/>
              <w:rPr>
                <w:sz w:val="8"/>
                <w:szCs w:val="8"/>
              </w:rPr>
            </w:pPr>
          </w:p>
          <w:p w14:paraId="3803DCEF" w14:textId="77777777" w:rsidR="00BD7991" w:rsidRPr="00456A1E" w:rsidRDefault="00BD7991" w:rsidP="00BD7991">
            <w:pPr>
              <w:pStyle w:val="Listeafsnit"/>
              <w:numPr>
                <w:ilvl w:val="0"/>
                <w:numId w:val="1"/>
              </w:numPr>
              <w:ind w:left="360"/>
              <w:jc w:val="both"/>
              <w:rPr>
                <w:sz w:val="23"/>
                <w:szCs w:val="23"/>
              </w:rPr>
            </w:pPr>
            <w:r w:rsidRPr="00456A1E">
              <w:rPr>
                <w:sz w:val="23"/>
                <w:szCs w:val="23"/>
              </w:rPr>
              <w:t xml:space="preserve">For at blive mindre sårbar, både økonomisk og mandskabsmæssigt </w:t>
            </w:r>
          </w:p>
          <w:p w14:paraId="073F9BC3" w14:textId="77777777" w:rsidR="00BD7991" w:rsidRPr="002F3A3B" w:rsidRDefault="00BD7991" w:rsidP="00BD7991">
            <w:pPr>
              <w:jc w:val="both"/>
              <w:rPr>
                <w:sz w:val="8"/>
                <w:szCs w:val="8"/>
              </w:rPr>
            </w:pPr>
          </w:p>
          <w:p w14:paraId="2E4740A3" w14:textId="0F812596" w:rsidR="00BD7991" w:rsidRPr="00456A1E" w:rsidRDefault="00BD7991" w:rsidP="00BD7991">
            <w:pPr>
              <w:pStyle w:val="Listeafsnit"/>
              <w:numPr>
                <w:ilvl w:val="0"/>
                <w:numId w:val="1"/>
              </w:numPr>
              <w:ind w:left="360"/>
              <w:jc w:val="both"/>
              <w:rPr>
                <w:sz w:val="23"/>
                <w:szCs w:val="23"/>
              </w:rPr>
            </w:pPr>
            <w:r w:rsidRPr="00456A1E">
              <w:rPr>
                <w:sz w:val="23"/>
                <w:szCs w:val="23"/>
              </w:rPr>
              <w:t>For at effektivisere den administrative drift, herunder udgifter til  ledel</w:t>
            </w:r>
            <w:r w:rsidR="001A6608">
              <w:rPr>
                <w:sz w:val="23"/>
                <w:szCs w:val="23"/>
              </w:rPr>
              <w:t>-</w:t>
            </w:r>
            <w:r w:rsidRPr="00456A1E">
              <w:rPr>
                <w:sz w:val="23"/>
                <w:szCs w:val="23"/>
              </w:rPr>
              <w:t>sesløn, lokaler, møder, IT og revision</w:t>
            </w:r>
          </w:p>
          <w:p w14:paraId="7E877AE9" w14:textId="77777777" w:rsidR="00BD7991" w:rsidRPr="002F3A3B" w:rsidRDefault="00BD7991" w:rsidP="00BD7991">
            <w:pPr>
              <w:pStyle w:val="Listeafsnit"/>
              <w:jc w:val="both"/>
              <w:rPr>
                <w:sz w:val="8"/>
                <w:szCs w:val="8"/>
              </w:rPr>
            </w:pPr>
          </w:p>
          <w:p w14:paraId="2E834AB6" w14:textId="75BF3965" w:rsidR="00BD7991" w:rsidRPr="00456A1E" w:rsidRDefault="00BD7991" w:rsidP="00BD7991">
            <w:pPr>
              <w:pStyle w:val="Listeafsnit"/>
              <w:numPr>
                <w:ilvl w:val="0"/>
                <w:numId w:val="1"/>
              </w:numPr>
              <w:ind w:left="360"/>
              <w:jc w:val="both"/>
              <w:rPr>
                <w:sz w:val="23"/>
                <w:szCs w:val="23"/>
              </w:rPr>
            </w:pPr>
            <w:r w:rsidRPr="00456A1E">
              <w:rPr>
                <w:sz w:val="23"/>
                <w:szCs w:val="23"/>
              </w:rPr>
              <w:t>For bedre at finde tid til kontinuerligt at analysere driftsområder i henhold til forvaltningsrevision og finde tid til dokumentationsarbejde og arbejde med GDPR m.m.</w:t>
            </w:r>
          </w:p>
          <w:p w14:paraId="7DD5EA93" w14:textId="77777777" w:rsidR="00BD7991" w:rsidRPr="002F3A3B" w:rsidRDefault="00BD7991" w:rsidP="00BD7991">
            <w:pPr>
              <w:jc w:val="both"/>
              <w:rPr>
                <w:sz w:val="8"/>
                <w:szCs w:val="8"/>
              </w:rPr>
            </w:pPr>
          </w:p>
          <w:p w14:paraId="12950E07" w14:textId="77777777" w:rsidR="00BD7991" w:rsidRPr="00456A1E" w:rsidRDefault="00BD7991" w:rsidP="00BD7991">
            <w:pPr>
              <w:pStyle w:val="Listeafsnit"/>
              <w:numPr>
                <w:ilvl w:val="0"/>
                <w:numId w:val="1"/>
              </w:numPr>
              <w:ind w:left="360"/>
              <w:jc w:val="both"/>
              <w:rPr>
                <w:sz w:val="23"/>
                <w:szCs w:val="23"/>
              </w:rPr>
            </w:pPr>
            <w:r w:rsidRPr="00456A1E">
              <w:rPr>
                <w:sz w:val="23"/>
                <w:szCs w:val="23"/>
              </w:rPr>
              <w:t>For at have mulighed for at analysere os frem til ”best praksis” i de tilfælde, hvor vi ikke gør det ens</w:t>
            </w:r>
          </w:p>
          <w:p w14:paraId="7B47E97F" w14:textId="77777777" w:rsidR="00BD7991" w:rsidRPr="002F3A3B" w:rsidRDefault="00BD7991" w:rsidP="00BD7991">
            <w:pPr>
              <w:jc w:val="both"/>
              <w:rPr>
                <w:sz w:val="8"/>
                <w:szCs w:val="8"/>
              </w:rPr>
            </w:pPr>
          </w:p>
          <w:p w14:paraId="10D5ADDE" w14:textId="77777777" w:rsidR="00BD7991" w:rsidRPr="00456A1E" w:rsidRDefault="00BD7991" w:rsidP="00BD7991">
            <w:pPr>
              <w:pStyle w:val="Listeafsnit"/>
              <w:numPr>
                <w:ilvl w:val="0"/>
                <w:numId w:val="1"/>
              </w:numPr>
              <w:ind w:left="360"/>
              <w:jc w:val="both"/>
              <w:rPr>
                <w:sz w:val="23"/>
                <w:szCs w:val="23"/>
              </w:rPr>
            </w:pPr>
            <w:r w:rsidRPr="00456A1E">
              <w:rPr>
                <w:sz w:val="23"/>
                <w:szCs w:val="23"/>
              </w:rPr>
              <w:t>For boligsøgende bliver det lettere og mere overskueligt, da de kun skal skrives op ét sted</w:t>
            </w:r>
          </w:p>
          <w:p w14:paraId="707BD385" w14:textId="77777777" w:rsidR="00BD7991" w:rsidRPr="002F3A3B" w:rsidRDefault="00BD7991" w:rsidP="00BD7991">
            <w:pPr>
              <w:jc w:val="both"/>
              <w:rPr>
                <w:sz w:val="8"/>
                <w:szCs w:val="8"/>
              </w:rPr>
            </w:pPr>
          </w:p>
          <w:p w14:paraId="596E8628" w14:textId="77777777" w:rsidR="00BD7991" w:rsidRPr="00456A1E" w:rsidRDefault="00BD7991" w:rsidP="00BD7991">
            <w:pPr>
              <w:pStyle w:val="Listeafsnit"/>
              <w:numPr>
                <w:ilvl w:val="0"/>
                <w:numId w:val="1"/>
              </w:numPr>
              <w:ind w:left="360"/>
              <w:jc w:val="both"/>
              <w:rPr>
                <w:sz w:val="23"/>
                <w:szCs w:val="23"/>
              </w:rPr>
            </w:pPr>
            <w:r w:rsidRPr="00456A1E">
              <w:rPr>
                <w:sz w:val="23"/>
                <w:szCs w:val="23"/>
              </w:rPr>
              <w:t>For beboere bliver der et større udvalg af boliger ved intern flytning</w:t>
            </w:r>
          </w:p>
          <w:p w14:paraId="001D9BA7" w14:textId="77777777" w:rsidR="00BD7991" w:rsidRPr="002F3A3B" w:rsidRDefault="00BD7991" w:rsidP="00BD7991">
            <w:pPr>
              <w:jc w:val="both"/>
              <w:rPr>
                <w:sz w:val="8"/>
                <w:szCs w:val="8"/>
              </w:rPr>
            </w:pPr>
          </w:p>
          <w:p w14:paraId="0AE91775" w14:textId="688BA3E9" w:rsidR="00BD7991" w:rsidRPr="00456A1E" w:rsidRDefault="00BD7991" w:rsidP="00BD7991">
            <w:pPr>
              <w:pStyle w:val="Listeafsnit"/>
              <w:numPr>
                <w:ilvl w:val="0"/>
                <w:numId w:val="1"/>
              </w:numPr>
              <w:ind w:left="360"/>
              <w:jc w:val="both"/>
              <w:rPr>
                <w:sz w:val="23"/>
                <w:szCs w:val="23"/>
              </w:rPr>
            </w:pPr>
            <w:r w:rsidRPr="00456A1E">
              <w:rPr>
                <w:sz w:val="23"/>
                <w:szCs w:val="23"/>
              </w:rPr>
              <w:t>Ved nyansættelser vil der være mulighed for at ansætte nye medarbej</w:t>
            </w:r>
            <w:r w:rsidR="001A6608">
              <w:rPr>
                <w:sz w:val="23"/>
                <w:szCs w:val="23"/>
              </w:rPr>
              <w:t>-</w:t>
            </w:r>
            <w:r w:rsidRPr="00456A1E">
              <w:rPr>
                <w:sz w:val="23"/>
                <w:szCs w:val="23"/>
              </w:rPr>
              <w:t>dere med mere specialiserede kompetencer</w:t>
            </w:r>
          </w:p>
          <w:p w14:paraId="2B35A96A" w14:textId="77777777" w:rsidR="00BD7991" w:rsidRPr="002F3A3B" w:rsidRDefault="00BD7991" w:rsidP="00BD7991">
            <w:pPr>
              <w:jc w:val="both"/>
              <w:rPr>
                <w:sz w:val="8"/>
                <w:szCs w:val="8"/>
              </w:rPr>
            </w:pPr>
          </w:p>
          <w:p w14:paraId="44B11B6B" w14:textId="77777777" w:rsidR="00BD7991" w:rsidRPr="00456A1E" w:rsidRDefault="00BD7991" w:rsidP="00BD7991">
            <w:pPr>
              <w:pStyle w:val="Listeafsnit"/>
              <w:numPr>
                <w:ilvl w:val="0"/>
                <w:numId w:val="1"/>
              </w:numPr>
              <w:ind w:left="360"/>
              <w:jc w:val="both"/>
              <w:rPr>
                <w:sz w:val="23"/>
                <w:szCs w:val="23"/>
              </w:rPr>
            </w:pPr>
            <w:r w:rsidRPr="00456A1E">
              <w:rPr>
                <w:sz w:val="23"/>
                <w:szCs w:val="23"/>
              </w:rPr>
              <w:t>For at udvise respekt for historien og de visionære folk, der har arbejdet for at der skulle være et lokalt funderet boligselskab i Vordingborg</w:t>
            </w:r>
          </w:p>
          <w:p w14:paraId="6EA9C7E8" w14:textId="45F8034F" w:rsidR="00325EEB" w:rsidRPr="00F93D1C" w:rsidRDefault="00325EEB" w:rsidP="00BD7991">
            <w:pPr>
              <w:pStyle w:val="Ingenafstand"/>
              <w:jc w:val="both"/>
              <w:rPr>
                <w:sz w:val="10"/>
                <w:szCs w:val="10"/>
              </w:rPr>
            </w:pPr>
          </w:p>
          <w:p w14:paraId="55CB1B5D" w14:textId="3848F674" w:rsidR="00BD7991" w:rsidRPr="00456A1E" w:rsidRDefault="00BD7991" w:rsidP="00BD7991">
            <w:pPr>
              <w:jc w:val="both"/>
              <w:rPr>
                <w:sz w:val="23"/>
                <w:szCs w:val="23"/>
              </w:rPr>
            </w:pPr>
            <w:r w:rsidRPr="00456A1E">
              <w:rPr>
                <w:sz w:val="23"/>
                <w:szCs w:val="23"/>
              </w:rPr>
              <w:t xml:space="preserve">Det er ledelsens opfattelse, at vi med vores </w:t>
            </w:r>
            <w:r w:rsidR="00821468">
              <w:rPr>
                <w:sz w:val="23"/>
                <w:szCs w:val="23"/>
              </w:rPr>
              <w:t xml:space="preserve">kommende </w:t>
            </w:r>
            <w:r w:rsidRPr="00456A1E">
              <w:rPr>
                <w:sz w:val="23"/>
                <w:szCs w:val="23"/>
              </w:rPr>
              <w:t>størrelse, vil kunne fortsætte som selvstændigt boligselskab</w:t>
            </w:r>
            <w:r w:rsidR="00821468">
              <w:rPr>
                <w:sz w:val="23"/>
                <w:szCs w:val="23"/>
              </w:rPr>
              <w:t xml:space="preserve"> i mange år. </w:t>
            </w:r>
          </w:p>
          <w:p w14:paraId="6BE5B565" w14:textId="77777777" w:rsidR="00BD7991" w:rsidRPr="00F93D1C" w:rsidRDefault="00BD7991" w:rsidP="00BD7991">
            <w:pPr>
              <w:jc w:val="both"/>
              <w:rPr>
                <w:sz w:val="8"/>
                <w:szCs w:val="8"/>
              </w:rPr>
            </w:pPr>
          </w:p>
          <w:p w14:paraId="643CE740" w14:textId="5027E910" w:rsidR="00BD7991" w:rsidRDefault="00BD7991" w:rsidP="00325EEB">
            <w:pPr>
              <w:jc w:val="both"/>
              <w:rPr>
                <w:sz w:val="23"/>
                <w:szCs w:val="23"/>
              </w:rPr>
            </w:pPr>
            <w:r w:rsidRPr="00456A1E">
              <w:rPr>
                <w:sz w:val="23"/>
                <w:szCs w:val="23"/>
              </w:rPr>
              <w:t>Tendensen er klar, der bliver færre og færre selvstændige lokale boligselskaber og hvis vi skal bevare vores selvstændighed med egen lokal administration, er fusion den bedste garanti for at det vil lykkedes</w:t>
            </w:r>
            <w:r w:rsidR="00325EEB" w:rsidRPr="00456A1E">
              <w:rPr>
                <w:sz w:val="23"/>
                <w:szCs w:val="23"/>
              </w:rPr>
              <w:t>.</w:t>
            </w:r>
          </w:p>
          <w:p w14:paraId="3C776BA2" w14:textId="77777777" w:rsidR="00A234C7" w:rsidRPr="00A234C7" w:rsidRDefault="00A234C7" w:rsidP="00325EEB">
            <w:pPr>
              <w:jc w:val="both"/>
              <w:rPr>
                <w:sz w:val="10"/>
                <w:szCs w:val="10"/>
              </w:rPr>
            </w:pPr>
          </w:p>
          <w:p w14:paraId="4D05D13F" w14:textId="77777777" w:rsidR="00456A1E" w:rsidRPr="00F93D1C" w:rsidRDefault="00456A1E" w:rsidP="00325EEB">
            <w:pPr>
              <w:jc w:val="both"/>
              <w:rPr>
                <w:sz w:val="10"/>
                <w:szCs w:val="10"/>
              </w:rPr>
            </w:pPr>
          </w:p>
          <w:p w14:paraId="75397C96" w14:textId="30E3A4FC" w:rsidR="00456A1E" w:rsidRPr="00456A1E" w:rsidRDefault="00456A1E" w:rsidP="00325EEB">
            <w:pPr>
              <w:jc w:val="both"/>
              <w:rPr>
                <w:sz w:val="23"/>
                <w:szCs w:val="23"/>
              </w:rPr>
            </w:pPr>
            <w:r w:rsidRPr="00456A1E">
              <w:rPr>
                <w:sz w:val="23"/>
                <w:szCs w:val="23"/>
              </w:rPr>
              <w:t xml:space="preserve">Såfremt du har spørgsmål eller kommentarer til den evt. kommende fusion, er du </w:t>
            </w:r>
            <w:r w:rsidR="001A6608">
              <w:rPr>
                <w:sz w:val="23"/>
                <w:szCs w:val="23"/>
              </w:rPr>
              <w:t xml:space="preserve">altid </w:t>
            </w:r>
            <w:r w:rsidRPr="00456A1E">
              <w:rPr>
                <w:sz w:val="23"/>
                <w:szCs w:val="23"/>
              </w:rPr>
              <w:t xml:space="preserve">velkommen til at kontakte formand, </w:t>
            </w:r>
            <w:r w:rsidR="00715FD9">
              <w:rPr>
                <w:sz w:val="23"/>
                <w:szCs w:val="23"/>
              </w:rPr>
              <w:t xml:space="preserve">Leif Nielsen på </w:t>
            </w:r>
            <w:r w:rsidRPr="00456A1E">
              <w:rPr>
                <w:sz w:val="23"/>
                <w:szCs w:val="23"/>
              </w:rPr>
              <w:t xml:space="preserve">tlf. </w:t>
            </w:r>
            <w:r w:rsidR="00715FD9">
              <w:rPr>
                <w:sz w:val="23"/>
                <w:szCs w:val="23"/>
              </w:rPr>
              <w:t>29 80 60 24 e</w:t>
            </w:r>
            <w:r w:rsidRPr="00456A1E">
              <w:rPr>
                <w:sz w:val="23"/>
                <w:szCs w:val="23"/>
              </w:rPr>
              <w:t xml:space="preserve">ller </w:t>
            </w:r>
            <w:r w:rsidR="00715FD9">
              <w:rPr>
                <w:sz w:val="23"/>
                <w:szCs w:val="23"/>
              </w:rPr>
              <w:t xml:space="preserve">forretningsfører Lars Lykkeby på </w:t>
            </w:r>
            <w:r w:rsidRPr="00456A1E">
              <w:rPr>
                <w:sz w:val="23"/>
                <w:szCs w:val="23"/>
              </w:rPr>
              <w:t>tlf.</w:t>
            </w:r>
            <w:r w:rsidR="00715FD9">
              <w:rPr>
                <w:sz w:val="23"/>
                <w:szCs w:val="23"/>
              </w:rPr>
              <w:t xml:space="preserve"> 24 42 55 99.</w:t>
            </w:r>
            <w:r w:rsidRPr="00456A1E">
              <w:rPr>
                <w:sz w:val="23"/>
                <w:szCs w:val="23"/>
              </w:rPr>
              <w:t xml:space="preserve"> </w:t>
            </w:r>
          </w:p>
        </w:tc>
      </w:tr>
      <w:tr w:rsidR="00BD7991" w14:paraId="24F2D546" w14:textId="77777777" w:rsidTr="00826B45">
        <w:tc>
          <w:tcPr>
            <w:tcW w:w="1446" w:type="dxa"/>
          </w:tcPr>
          <w:p w14:paraId="3631D650" w14:textId="77777777" w:rsidR="00BD7991" w:rsidRDefault="00BD7991" w:rsidP="00826B45"/>
        </w:tc>
        <w:tc>
          <w:tcPr>
            <w:tcW w:w="9014" w:type="dxa"/>
          </w:tcPr>
          <w:p w14:paraId="30F793EE" w14:textId="4D0B715F" w:rsidR="00BD7991" w:rsidRDefault="00715FD9" w:rsidP="00826B45">
            <w:pPr>
              <w:jc w:val="right"/>
            </w:pPr>
            <w:r>
              <w:t>31</w:t>
            </w:r>
            <w:r w:rsidR="00BD7991">
              <w:t>. marts 2025</w:t>
            </w:r>
          </w:p>
        </w:tc>
      </w:tr>
    </w:tbl>
    <w:p w14:paraId="5DE9731A" w14:textId="77777777" w:rsidR="00BD7991" w:rsidRPr="00325EEB" w:rsidRDefault="00BD7991">
      <w:pPr>
        <w:rPr>
          <w:sz w:val="4"/>
          <w:szCs w:val="4"/>
        </w:rPr>
      </w:pPr>
    </w:p>
    <w:sectPr w:rsidR="00BD7991" w:rsidRPr="00325EEB" w:rsidSect="002B62B0">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8820" w14:textId="77777777" w:rsidR="009B14A8" w:rsidRDefault="009B14A8" w:rsidP="009B14A8">
      <w:r>
        <w:separator/>
      </w:r>
    </w:p>
  </w:endnote>
  <w:endnote w:type="continuationSeparator" w:id="0">
    <w:p w14:paraId="667F76D9" w14:textId="77777777" w:rsidR="009B14A8" w:rsidRDefault="009B14A8" w:rsidP="009B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DBAB" w14:textId="6D316BCE" w:rsidR="009B14A8" w:rsidRPr="00467553" w:rsidRDefault="009B14A8" w:rsidP="009B14A8">
    <w:pPr>
      <w:jc w:val="center"/>
    </w:pPr>
  </w:p>
  <w:p w14:paraId="2AAECA4C" w14:textId="77777777" w:rsidR="009B14A8" w:rsidRDefault="009B14A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25CF1" w14:textId="77777777" w:rsidR="009B14A8" w:rsidRDefault="009B14A8" w:rsidP="009B14A8">
      <w:r>
        <w:separator/>
      </w:r>
    </w:p>
  </w:footnote>
  <w:footnote w:type="continuationSeparator" w:id="0">
    <w:p w14:paraId="1F529FEF" w14:textId="77777777" w:rsidR="009B14A8" w:rsidRDefault="009B14A8" w:rsidP="009B1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4502"/>
    <w:multiLevelType w:val="hybridMultilevel"/>
    <w:tmpl w:val="1F08CF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24563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A8"/>
    <w:rsid w:val="00066A8A"/>
    <w:rsid w:val="001A6608"/>
    <w:rsid w:val="001E4C93"/>
    <w:rsid w:val="001E7541"/>
    <w:rsid w:val="002B62B0"/>
    <w:rsid w:val="002E77DB"/>
    <w:rsid w:val="002F3A3B"/>
    <w:rsid w:val="00325EEB"/>
    <w:rsid w:val="00456A1E"/>
    <w:rsid w:val="004B10D7"/>
    <w:rsid w:val="00600A6C"/>
    <w:rsid w:val="006A0104"/>
    <w:rsid w:val="006E345E"/>
    <w:rsid w:val="00715FD9"/>
    <w:rsid w:val="007B69CD"/>
    <w:rsid w:val="00821468"/>
    <w:rsid w:val="008D31DD"/>
    <w:rsid w:val="009B14A8"/>
    <w:rsid w:val="00A11A3C"/>
    <w:rsid w:val="00A234C7"/>
    <w:rsid w:val="00B91934"/>
    <w:rsid w:val="00BB1D23"/>
    <w:rsid w:val="00BD7991"/>
    <w:rsid w:val="00D46DBA"/>
    <w:rsid w:val="00F526CB"/>
    <w:rsid w:val="00F93D1C"/>
    <w:rsid w:val="00FA7A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A634"/>
  <w15:chartTrackingRefBased/>
  <w15:docId w15:val="{1157878F-5BEA-4EBA-A198-5E040AF8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0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F526CB"/>
  </w:style>
  <w:style w:type="table" w:styleId="Tabel-Gitter">
    <w:name w:val="Table Grid"/>
    <w:basedOn w:val="Tabel-Normal"/>
    <w:uiPriority w:val="39"/>
    <w:rsid w:val="009B1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9B14A8"/>
    <w:pPr>
      <w:tabs>
        <w:tab w:val="center" w:pos="4819"/>
        <w:tab w:val="right" w:pos="9638"/>
      </w:tabs>
    </w:pPr>
  </w:style>
  <w:style w:type="character" w:customStyle="1" w:styleId="SidehovedTegn">
    <w:name w:val="Sidehoved Tegn"/>
    <w:basedOn w:val="Standardskrifttypeiafsnit"/>
    <w:link w:val="Sidehoved"/>
    <w:uiPriority w:val="99"/>
    <w:rsid w:val="009B14A8"/>
  </w:style>
  <w:style w:type="paragraph" w:styleId="Sidefod">
    <w:name w:val="footer"/>
    <w:basedOn w:val="Normal"/>
    <w:link w:val="SidefodTegn"/>
    <w:uiPriority w:val="99"/>
    <w:unhideWhenUsed/>
    <w:rsid w:val="009B14A8"/>
    <w:pPr>
      <w:tabs>
        <w:tab w:val="center" w:pos="4819"/>
        <w:tab w:val="right" w:pos="9638"/>
      </w:tabs>
    </w:pPr>
  </w:style>
  <w:style w:type="character" w:customStyle="1" w:styleId="SidefodTegn">
    <w:name w:val="Sidefod Tegn"/>
    <w:basedOn w:val="Standardskrifttypeiafsnit"/>
    <w:link w:val="Sidefod"/>
    <w:uiPriority w:val="99"/>
    <w:rsid w:val="009B14A8"/>
  </w:style>
  <w:style w:type="paragraph" w:styleId="Listeafsnit">
    <w:name w:val="List Paragraph"/>
    <w:basedOn w:val="Normal"/>
    <w:uiPriority w:val="34"/>
    <w:qFormat/>
    <w:rsid w:val="00BD7991"/>
    <w:pPr>
      <w:ind w:left="720"/>
      <w:contextualSpacing/>
    </w:pPr>
  </w:style>
  <w:style w:type="character" w:styleId="Hyperlink">
    <w:name w:val="Hyperlink"/>
    <w:basedOn w:val="Standardskrifttypeiafsnit"/>
    <w:uiPriority w:val="99"/>
    <w:unhideWhenUsed/>
    <w:rsid w:val="00456A1E"/>
    <w:rPr>
      <w:color w:val="0563C1" w:themeColor="hyperlink"/>
      <w:u w:val="single"/>
    </w:rPr>
  </w:style>
  <w:style w:type="character" w:styleId="Ulstomtale">
    <w:name w:val="Unresolved Mention"/>
    <w:basedOn w:val="Standardskrifttypeiafsnit"/>
    <w:uiPriority w:val="99"/>
    <w:semiHidden/>
    <w:unhideWhenUsed/>
    <w:rsid w:val="00456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605</Words>
  <Characters>3696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Hartmann</dc:creator>
  <cp:keywords/>
  <dc:description/>
  <cp:lastModifiedBy>Lars Lykkeby</cp:lastModifiedBy>
  <cp:revision>8</cp:revision>
  <cp:lastPrinted>2025-03-26T08:14:00Z</cp:lastPrinted>
  <dcterms:created xsi:type="dcterms:W3CDTF">2025-03-30T07:54:00Z</dcterms:created>
  <dcterms:modified xsi:type="dcterms:W3CDTF">2025-03-31T06:48:00Z</dcterms:modified>
</cp:coreProperties>
</file>